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67B" w:rsidRPr="00A309DB" w:rsidRDefault="007F667B" w:rsidP="007F667B">
      <w:pPr>
        <w:widowControl w:val="0"/>
        <w:spacing w:after="120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A309DB" w:rsidP="00A309DB">
      <w:pPr>
        <w:rPr>
          <w:rFonts w:ascii="Arial" w:hAnsi="Arial" w:cs="Arial"/>
          <w:b/>
          <w:sz w:val="22"/>
          <w:szCs w:val="22"/>
          <w:lang w:val="it-IT"/>
        </w:rPr>
      </w:pP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="007F667B" w:rsidRPr="00A309DB">
        <w:rPr>
          <w:rFonts w:ascii="Arial" w:hAnsi="Arial" w:cs="Arial"/>
          <w:b/>
          <w:sz w:val="22"/>
          <w:szCs w:val="22"/>
          <w:lang w:val="it-IT"/>
        </w:rPr>
        <w:t xml:space="preserve"> MODULO </w:t>
      </w:r>
      <w:r w:rsidR="00AB14CA" w:rsidRPr="00A309DB">
        <w:rPr>
          <w:rFonts w:ascii="Arial" w:hAnsi="Arial" w:cs="Arial"/>
          <w:b/>
          <w:sz w:val="22"/>
          <w:szCs w:val="22"/>
          <w:lang w:val="it-IT"/>
        </w:rPr>
        <w:t>–</w:t>
      </w:r>
      <w:r w:rsidR="007F667B" w:rsidRPr="00A309D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AB14CA" w:rsidRPr="00A309DB">
        <w:rPr>
          <w:rFonts w:ascii="Arial" w:hAnsi="Arial" w:cs="Arial"/>
          <w:b/>
          <w:sz w:val="22"/>
          <w:szCs w:val="22"/>
          <w:lang w:val="it-IT"/>
        </w:rPr>
        <w:t>Istanza di partecipazione</w:t>
      </w: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7F667B" w:rsidRDefault="007F667B" w:rsidP="00A309DB">
      <w:pPr>
        <w:ind w:left="360" w:right="359"/>
        <w:jc w:val="right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 xml:space="preserve">Comune di </w:t>
      </w:r>
      <w:proofErr w:type="spellStart"/>
      <w:r w:rsidRPr="00A309DB">
        <w:rPr>
          <w:rFonts w:ascii="Arial" w:hAnsi="Arial" w:cs="Arial"/>
          <w:sz w:val="22"/>
          <w:szCs w:val="22"/>
          <w:lang w:val="it-IT"/>
        </w:rPr>
        <w:t>Noicàttaro</w:t>
      </w:r>
      <w:proofErr w:type="spellEnd"/>
    </w:p>
    <w:p w:rsidR="000869B9" w:rsidRDefault="000869B9" w:rsidP="00A309DB">
      <w:pPr>
        <w:ind w:left="360" w:right="359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Via Pietro Nenni, 11</w:t>
      </w:r>
    </w:p>
    <w:p w:rsidR="007F667B" w:rsidRPr="000869B9" w:rsidRDefault="000869B9" w:rsidP="000869B9">
      <w:pPr>
        <w:ind w:left="360" w:right="359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70016 - </w:t>
      </w:r>
      <w:proofErr w:type="spellStart"/>
      <w:r>
        <w:rPr>
          <w:rFonts w:ascii="Arial" w:hAnsi="Arial" w:cs="Arial"/>
          <w:sz w:val="22"/>
          <w:szCs w:val="22"/>
          <w:lang w:val="it-IT"/>
        </w:rPr>
        <w:t>Noicàttaro</w:t>
      </w:r>
      <w:proofErr w:type="spellEnd"/>
    </w:p>
    <w:p w:rsidR="007F667B" w:rsidRPr="00A309DB" w:rsidRDefault="00A309DB" w:rsidP="000869B9">
      <w:pPr>
        <w:ind w:left="1416" w:right="359"/>
        <w:jc w:val="righ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ab/>
      </w:r>
      <w:r w:rsidR="007F667B" w:rsidRPr="00A309DB">
        <w:rPr>
          <w:rFonts w:ascii="Arial" w:hAnsi="Arial" w:cs="Arial"/>
          <w:sz w:val="22"/>
          <w:szCs w:val="22"/>
          <w:lang w:val="it-IT"/>
        </w:rPr>
        <w:tab/>
      </w:r>
      <w:hyperlink r:id="rId5" w:history="1">
        <w:r w:rsidRPr="00A309DB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cultura_pi.comune.nocattaro@pec.rupar.puglia.it</w:t>
        </w:r>
      </w:hyperlink>
      <w:bookmarkStart w:id="0" w:name="_GoBack"/>
      <w:bookmarkEnd w:id="0"/>
    </w:p>
    <w:p w:rsidR="007F667B" w:rsidRPr="00A309DB" w:rsidRDefault="007F667B" w:rsidP="007F667B">
      <w:pPr>
        <w:ind w:left="1416" w:right="359"/>
        <w:jc w:val="center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  <w:t xml:space="preserve">  </w:t>
      </w:r>
    </w:p>
    <w:p w:rsidR="007F667B" w:rsidRPr="00A309DB" w:rsidRDefault="007F667B" w:rsidP="007F667B">
      <w:pPr>
        <w:widowControl w:val="0"/>
        <w:spacing w:after="240"/>
        <w:jc w:val="both"/>
        <w:rPr>
          <w:rFonts w:ascii="Arial" w:hAnsi="Arial" w:cs="Arial"/>
          <w:b/>
          <w:sz w:val="22"/>
          <w:szCs w:val="22"/>
        </w:rPr>
      </w:pPr>
    </w:p>
    <w:p w:rsidR="007F667B" w:rsidRPr="00A309DB" w:rsidRDefault="007F667B" w:rsidP="007F667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pacing w:before="120" w:after="240"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309DB">
        <w:rPr>
          <w:rFonts w:ascii="Arial" w:hAnsi="Arial" w:cs="Arial"/>
          <w:b/>
          <w:sz w:val="22"/>
          <w:szCs w:val="22"/>
          <w:lang w:val="it-IT"/>
        </w:rPr>
        <w:t>Avviso Pubblico</w:t>
      </w:r>
      <w:r w:rsidR="00A309DB" w:rsidRPr="00A309DB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Pr="00A309DB">
        <w:rPr>
          <w:rFonts w:ascii="Arial" w:hAnsi="Arial" w:cs="Arial"/>
          <w:b/>
          <w:sz w:val="22"/>
          <w:szCs w:val="22"/>
          <w:lang w:val="it-IT"/>
        </w:rPr>
        <w:t xml:space="preserve">- Invito a presentare un progetto per la gestione del “Forno Antico” per la durata di </w:t>
      </w:r>
      <w:proofErr w:type="spellStart"/>
      <w:r w:rsidR="00A309DB" w:rsidRPr="00A309DB">
        <w:rPr>
          <w:rFonts w:ascii="Arial" w:hAnsi="Arial" w:cs="Arial"/>
          <w:b/>
          <w:sz w:val="22"/>
          <w:szCs w:val="22"/>
        </w:rPr>
        <w:t>anni</w:t>
      </w:r>
      <w:proofErr w:type="spellEnd"/>
      <w:r w:rsidR="00A309DB" w:rsidRPr="00A309DB">
        <w:rPr>
          <w:rFonts w:ascii="Arial" w:hAnsi="Arial" w:cs="Arial"/>
          <w:b/>
          <w:sz w:val="22"/>
          <w:szCs w:val="22"/>
        </w:rPr>
        <w:t xml:space="preserve"> 2 (due), </w:t>
      </w:r>
      <w:r w:rsidR="00A309DB" w:rsidRPr="00A309DB">
        <w:rPr>
          <w:rFonts w:ascii="Arial" w:hAnsi="Arial" w:cs="Arial"/>
          <w:b/>
          <w:sz w:val="22"/>
          <w:szCs w:val="22"/>
          <w:lang w:val="it-IT"/>
        </w:rPr>
        <w:t xml:space="preserve">eventualmente prorogabile per ulteriori anni 4 (quattro) </w:t>
      </w:r>
    </w:p>
    <w:p w:rsidR="007F667B" w:rsidRPr="00A309DB" w:rsidRDefault="007F667B" w:rsidP="007F667B">
      <w:pPr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Il/la sottoscritto/a …………………………………………………………………nato/a ……………………………………</w:t>
      </w: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>.…il……………………………………residente in………………………………………via………………………………………………n……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In</w:t>
      </w:r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 </w:t>
      </w:r>
      <w:r w:rsidRPr="00A309DB">
        <w:rPr>
          <w:rFonts w:ascii="Arial" w:hAnsi="Arial" w:cs="Arial"/>
          <w:sz w:val="22"/>
          <w:szCs w:val="22"/>
          <w:lang w:val="it-IT"/>
        </w:rPr>
        <w:t>qualità</w:t>
      </w:r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 </w:t>
      </w:r>
      <w:r w:rsidRPr="00A309DB">
        <w:rPr>
          <w:rFonts w:ascii="Arial" w:hAnsi="Arial" w:cs="Arial"/>
          <w:sz w:val="22"/>
          <w:szCs w:val="22"/>
          <w:lang w:val="it-IT"/>
        </w:rPr>
        <w:t>di……………………………………………………………………………</w:t>
      </w:r>
      <w:r w:rsidR="00956FFC" w:rsidRPr="00A309DB">
        <w:rPr>
          <w:rFonts w:ascii="Arial" w:hAnsi="Arial" w:cs="Arial"/>
          <w:sz w:val="22"/>
          <w:szCs w:val="22"/>
          <w:lang w:val="it-IT"/>
        </w:rPr>
        <w:t>…</w:t>
      </w:r>
      <w:r w:rsidRPr="00A309DB">
        <w:rPr>
          <w:rFonts w:ascii="Arial" w:hAnsi="Arial" w:cs="Arial"/>
          <w:sz w:val="22"/>
          <w:szCs w:val="22"/>
          <w:lang w:val="it-IT"/>
        </w:rPr>
        <w:t>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della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 xml:space="preserve"> Società/Associazione/Cooperativa/Consorzio/etc.……………………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con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 xml:space="preserve"> sede in…………………………………………………………………..………..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Via……………………………</w:t>
      </w: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…….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>…….n………….</w:t>
      </w:r>
      <w:proofErr w:type="spellStart"/>
      <w:r w:rsidRPr="00A309DB">
        <w:rPr>
          <w:rFonts w:ascii="Arial" w:hAnsi="Arial" w:cs="Arial"/>
          <w:sz w:val="22"/>
          <w:szCs w:val="22"/>
          <w:lang w:val="it-IT"/>
        </w:rPr>
        <w:t>tel</w:t>
      </w:r>
      <w:proofErr w:type="spellEnd"/>
      <w:r w:rsidRPr="00A309DB">
        <w:rPr>
          <w:rFonts w:ascii="Arial" w:hAnsi="Arial" w:cs="Arial"/>
          <w:sz w:val="22"/>
          <w:szCs w:val="22"/>
          <w:lang w:val="it-IT"/>
        </w:rPr>
        <w:t>………………..……………………….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proofErr w:type="gramStart"/>
      <w:r w:rsidRPr="00A309DB">
        <w:rPr>
          <w:rFonts w:ascii="Arial" w:hAnsi="Arial" w:cs="Arial"/>
          <w:sz w:val="22"/>
          <w:szCs w:val="22"/>
          <w:lang w:val="it-IT"/>
        </w:rPr>
        <w:t>email</w:t>
      </w:r>
      <w:proofErr w:type="gramEnd"/>
      <w:r w:rsidRPr="00A309DB">
        <w:rPr>
          <w:rFonts w:ascii="Arial" w:hAnsi="Arial" w:cs="Arial"/>
          <w:sz w:val="22"/>
          <w:szCs w:val="22"/>
          <w:lang w:val="it-IT"/>
        </w:rPr>
        <w:t>…………………………………………………….PEC……………………………………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CODICE FISCALE……………………………………………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P.IVA…………………………………………………………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Con riferimento all’</w:t>
      </w:r>
      <w:r w:rsidR="00956FFC" w:rsidRPr="00A309DB">
        <w:rPr>
          <w:rFonts w:ascii="Arial" w:hAnsi="Arial" w:cs="Arial"/>
          <w:sz w:val="22"/>
          <w:szCs w:val="22"/>
          <w:lang w:val="it-IT"/>
        </w:rPr>
        <w:t>invito</w:t>
      </w:r>
      <w:r w:rsidRPr="00A309DB">
        <w:rPr>
          <w:rFonts w:ascii="Arial" w:hAnsi="Arial" w:cs="Arial"/>
          <w:sz w:val="22"/>
          <w:szCs w:val="22"/>
          <w:lang w:val="it-IT"/>
        </w:rPr>
        <w:t xml:space="preserve"> di cui in oggetto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sz w:val="22"/>
          <w:szCs w:val="22"/>
          <w:lang w:val="it-IT"/>
        </w:rPr>
        <w:tab/>
      </w:r>
      <w:r w:rsidRPr="00A309DB">
        <w:rPr>
          <w:rFonts w:ascii="Arial" w:hAnsi="Arial" w:cs="Arial"/>
          <w:b/>
          <w:sz w:val="22"/>
          <w:szCs w:val="22"/>
          <w:lang w:val="it-IT"/>
        </w:rPr>
        <w:t>DICHIARA</w:t>
      </w:r>
    </w:p>
    <w:p w:rsidR="007F667B" w:rsidRPr="00A309DB" w:rsidRDefault="007F667B" w:rsidP="00A309DB">
      <w:pPr>
        <w:spacing w:line="360" w:lineRule="auto"/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 xml:space="preserve">Di </w:t>
      </w:r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aderire all’invito di presentare un progetto per la gestione del “Forno Antico” per </w:t>
      </w:r>
      <w:proofErr w:type="spellStart"/>
      <w:r w:rsidR="00A309DB" w:rsidRPr="00A309DB">
        <w:rPr>
          <w:rFonts w:ascii="Arial" w:hAnsi="Arial" w:cs="Arial"/>
          <w:sz w:val="22"/>
          <w:szCs w:val="22"/>
        </w:rPr>
        <w:t>anni</w:t>
      </w:r>
      <w:proofErr w:type="spellEnd"/>
      <w:r w:rsidR="00A309DB" w:rsidRPr="00A309DB">
        <w:rPr>
          <w:rFonts w:ascii="Arial" w:hAnsi="Arial" w:cs="Arial"/>
          <w:sz w:val="22"/>
          <w:szCs w:val="22"/>
        </w:rPr>
        <w:t xml:space="preserve"> 2 (due), </w:t>
      </w:r>
      <w:r w:rsidR="00A309DB" w:rsidRPr="00A309DB">
        <w:rPr>
          <w:rFonts w:ascii="Arial" w:hAnsi="Arial" w:cs="Arial"/>
          <w:sz w:val="22"/>
          <w:szCs w:val="22"/>
          <w:lang w:val="it-IT"/>
        </w:rPr>
        <w:t>eventualmente prorogabile per ulteriori anni 4 (quattro)</w:t>
      </w:r>
      <w:r w:rsidR="00956FFC" w:rsidRPr="00A309DB">
        <w:rPr>
          <w:rFonts w:ascii="Arial" w:hAnsi="Arial" w:cs="Arial"/>
          <w:sz w:val="22"/>
          <w:szCs w:val="22"/>
          <w:lang w:val="it-IT"/>
        </w:rPr>
        <w:t>.</w:t>
      </w: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</w:rPr>
      </w:pPr>
    </w:p>
    <w:p w:rsidR="007F667B" w:rsidRPr="00A309DB" w:rsidRDefault="007F667B" w:rsidP="00A309DB">
      <w:pPr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Inoltre, ai sensi degli artt. 46 e 47 del DPR 445/2000, sotto la propria personale responsabilità e consapevole delle sanzioni penali previste dall’art. 76 e delle conseguenze di cui all’art. 75 del medesimo DPR 445/2000, per le ipotesi di falsità in atti e dichiarazioni mendaci ivi indicate e, infor</w:t>
      </w:r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mato ex art. 13 </w:t>
      </w:r>
      <w:proofErr w:type="spellStart"/>
      <w:r w:rsidR="00956FFC" w:rsidRPr="00A309DB">
        <w:rPr>
          <w:rFonts w:ascii="Arial" w:hAnsi="Arial" w:cs="Arial"/>
          <w:sz w:val="22"/>
          <w:szCs w:val="22"/>
          <w:lang w:val="it-IT"/>
        </w:rPr>
        <w:t>D.Lgs.</w:t>
      </w:r>
      <w:proofErr w:type="spellEnd"/>
      <w:r w:rsidR="00956FFC" w:rsidRPr="00A309DB">
        <w:rPr>
          <w:rFonts w:ascii="Arial" w:hAnsi="Arial" w:cs="Arial"/>
          <w:sz w:val="22"/>
          <w:szCs w:val="22"/>
          <w:lang w:val="it-IT"/>
        </w:rPr>
        <w:t xml:space="preserve"> 196/2003:</w:t>
      </w:r>
    </w:p>
    <w:p w:rsidR="007F667B" w:rsidRPr="00A309DB" w:rsidRDefault="007F667B" w:rsidP="00A309DB">
      <w:pPr>
        <w:spacing w:line="360" w:lineRule="auto"/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A309DB">
      <w:pPr>
        <w:spacing w:line="360" w:lineRule="auto"/>
        <w:ind w:left="360" w:right="359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A309DB">
        <w:rPr>
          <w:rFonts w:ascii="Arial" w:hAnsi="Arial" w:cs="Arial"/>
          <w:b/>
          <w:sz w:val="22"/>
          <w:szCs w:val="22"/>
          <w:lang w:val="it-IT"/>
        </w:rPr>
        <w:t>DICHIARA DI ESSERE IN POSSESSO DEI SEGUENTI REQUISITI</w:t>
      </w:r>
    </w:p>
    <w:p w:rsidR="007F667B" w:rsidRPr="00A309DB" w:rsidRDefault="007F667B" w:rsidP="00A309DB">
      <w:pPr>
        <w:suppressAutoHyphens/>
        <w:spacing w:line="360" w:lineRule="auto"/>
        <w:ind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956FFC" w:rsidRPr="00A309DB" w:rsidRDefault="00956FFC" w:rsidP="00A309DB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contextualSpacing/>
        <w:rPr>
          <w:rFonts w:cs="Arial"/>
          <w:sz w:val="22"/>
          <w:szCs w:val="22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lastRenderedPageBreak/>
        <w:t>assenza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di condizioni ostative alla contrattazione con la Pubblica amministrazione</w:t>
      </w:r>
      <w:r w:rsidRPr="00A309DB">
        <w:rPr>
          <w:rFonts w:cs="Arial"/>
          <w:sz w:val="22"/>
          <w:szCs w:val="22"/>
        </w:rPr>
        <w:t>;</w:t>
      </w:r>
    </w:p>
    <w:p w:rsidR="00956FFC" w:rsidRPr="00A309DB" w:rsidRDefault="00956FFC" w:rsidP="00A309DB">
      <w:pPr>
        <w:pStyle w:val="Paragrafoelenco"/>
        <w:numPr>
          <w:ilvl w:val="0"/>
          <w:numId w:val="1"/>
        </w:numPr>
        <w:autoSpaceDN w:val="0"/>
        <w:adjustRightInd w:val="0"/>
        <w:spacing w:after="302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insussistenza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nei confronti dei soggetti individuati dall'art. 85 del </w:t>
      </w:r>
      <w:proofErr w:type="spell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D.Lgs</w:t>
      </w:r>
      <w:proofErr w:type="spell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n. 159/2011, di cause di decadenza, di divieto o di sospensione di cui all’art. 67 e tentativi di infiltrazione mafiosa di cui all’art. 84, comma 4, dello stesso d.lgs. 159/2011 e </w:t>
      </w:r>
      <w:proofErr w:type="spell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s.m.i</w:t>
      </w:r>
      <w:proofErr w:type="spell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; </w:t>
      </w:r>
    </w:p>
    <w:p w:rsidR="00956FFC" w:rsidRPr="00A309DB" w:rsidRDefault="00956FFC" w:rsidP="00A309DB">
      <w:pPr>
        <w:pStyle w:val="Paragrafoelenco"/>
        <w:numPr>
          <w:ilvl w:val="0"/>
          <w:numId w:val="1"/>
        </w:numPr>
        <w:autoSpaceDN w:val="0"/>
        <w:adjustRightInd w:val="0"/>
        <w:spacing w:after="302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insussistenza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di gravi violazioni relative alle norme in materia di contribuzione previdenziale, fiscale, assicurativa; </w:t>
      </w:r>
    </w:p>
    <w:p w:rsidR="007F667B" w:rsidRPr="00A309DB" w:rsidRDefault="007F667B" w:rsidP="00A309DB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contextualSpacing/>
        <w:rPr>
          <w:rFonts w:cs="Arial"/>
          <w:sz w:val="22"/>
          <w:szCs w:val="22"/>
        </w:rPr>
      </w:pPr>
      <w:proofErr w:type="gramStart"/>
      <w:r w:rsidRPr="00A309DB">
        <w:rPr>
          <w:rFonts w:cs="Arial"/>
          <w:sz w:val="22"/>
          <w:szCs w:val="22"/>
        </w:rPr>
        <w:t>di</w:t>
      </w:r>
      <w:proofErr w:type="gramEnd"/>
      <w:r w:rsidRPr="00A309DB">
        <w:rPr>
          <w:rFonts w:cs="Arial"/>
          <w:sz w:val="22"/>
          <w:szCs w:val="22"/>
        </w:rPr>
        <w:t xml:space="preserve"> non avere contenziosi in corso con il Comune di Noicàttaro;</w:t>
      </w:r>
    </w:p>
    <w:p w:rsidR="00956FFC" w:rsidRPr="00A309DB" w:rsidRDefault="00956FFC" w:rsidP="00A309DB">
      <w:pPr>
        <w:pStyle w:val="Paragrafoelenco"/>
        <w:numPr>
          <w:ilvl w:val="0"/>
          <w:numId w:val="1"/>
        </w:numPr>
        <w:autoSpaceDN w:val="0"/>
        <w:adjustRightInd w:val="0"/>
        <w:spacing w:after="302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assenza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di situazioni di morosità nei confronti del Comune di Noicàttaro; </w:t>
      </w:r>
    </w:p>
    <w:p w:rsidR="00956FFC" w:rsidRPr="00A309DB" w:rsidRDefault="00956FFC" w:rsidP="00A309DB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contextualSpacing/>
        <w:rPr>
          <w:rFonts w:cs="Arial"/>
          <w:sz w:val="22"/>
          <w:szCs w:val="22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regolarità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con i versamenti contributivi</w:t>
      </w:r>
      <w:r w:rsidR="00F4531D"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 </w:t>
      </w:r>
      <w:proofErr w:type="spellStart"/>
      <w:r w:rsidR="00F4531D" w:rsidRPr="00A309DB">
        <w:rPr>
          <w:rFonts w:eastAsiaTheme="minorHAnsi" w:cs="Arial"/>
          <w:color w:val="000000"/>
          <w:sz w:val="22"/>
          <w:szCs w:val="22"/>
          <w:lang w:eastAsia="en-US"/>
        </w:rPr>
        <w:t>erispetto</w:t>
      </w:r>
      <w:proofErr w:type="spellEnd"/>
      <w:r w:rsidR="00F4531D"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della normativa in materia di DURC, laddove applicabile</w:t>
      </w:r>
    </w:p>
    <w:p w:rsidR="00F4531D" w:rsidRPr="00A309DB" w:rsidRDefault="00F4531D" w:rsidP="00A309DB">
      <w:pPr>
        <w:pStyle w:val="Paragrafoelenco"/>
        <w:numPr>
          <w:ilvl w:val="0"/>
          <w:numId w:val="1"/>
        </w:numPr>
        <w:autoSpaceDN w:val="0"/>
        <w:adjustRightInd w:val="0"/>
        <w:spacing w:after="302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rispetto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della normativa nazionale e comunitaria vigente in materia di rapporti di lavoro e dei contratti collettivi nazionali di lavoro di settore; </w:t>
      </w:r>
    </w:p>
    <w:p w:rsidR="00F4531D" w:rsidRPr="00A309DB" w:rsidRDefault="00F4531D" w:rsidP="00A309DB">
      <w:pPr>
        <w:pStyle w:val="Paragrafoelenco"/>
        <w:numPr>
          <w:ilvl w:val="0"/>
          <w:numId w:val="1"/>
        </w:numPr>
        <w:autoSpaceDN w:val="0"/>
        <w:adjustRightInd w:val="0"/>
        <w:spacing w:after="302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assenza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di provvedimenti o azioni esecutive pendenti innanzi all’Autorità Giudiziaria e/o procedimenti amministrativi connessi ad atti di revoca per indebita percezione di risorse pubbliche; </w:t>
      </w:r>
    </w:p>
    <w:p w:rsidR="00F4531D" w:rsidRPr="00A309DB" w:rsidRDefault="00F4531D" w:rsidP="00A309DB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assenza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di cause di esclusione di cui agli artt. 94 e 95 del D. </w:t>
      </w:r>
      <w:proofErr w:type="spell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Lgs</w:t>
      </w:r>
      <w:proofErr w:type="spell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. 36/2023 e </w:t>
      </w:r>
      <w:proofErr w:type="spell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s.m.i.</w:t>
      </w:r>
      <w:proofErr w:type="spell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;</w:t>
      </w:r>
    </w:p>
    <w:p w:rsidR="007F667B" w:rsidRPr="00A309DB" w:rsidRDefault="007F667B" w:rsidP="00A309DB">
      <w:pPr>
        <w:pStyle w:val="Paragrafoelenco"/>
        <w:widowControl w:val="0"/>
        <w:numPr>
          <w:ilvl w:val="0"/>
          <w:numId w:val="1"/>
        </w:numPr>
        <w:autoSpaceDE/>
        <w:spacing w:after="240" w:line="360" w:lineRule="auto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proofErr w:type="gramStart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di</w:t>
      </w:r>
      <w:proofErr w:type="gramEnd"/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 essere in regola con gli obblighi relativi alla sicurezza sul lavoro;</w:t>
      </w: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Luogo, data</w:t>
      </w: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___________________</w:t>
      </w:r>
    </w:p>
    <w:p w:rsidR="007F667B" w:rsidRPr="00A309DB" w:rsidRDefault="007F667B" w:rsidP="007F667B">
      <w:pPr>
        <w:ind w:left="4968" w:right="359" w:firstLine="696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7F667B">
      <w:pPr>
        <w:ind w:left="4968" w:right="359" w:firstLine="696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Il dichiarante</w:t>
      </w:r>
    </w:p>
    <w:p w:rsidR="007F667B" w:rsidRPr="00A309DB" w:rsidRDefault="007F667B" w:rsidP="007F667B">
      <w:pPr>
        <w:ind w:left="4608" w:right="359" w:firstLine="348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________________________________</w:t>
      </w: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  <w:r w:rsidRPr="00A309DB">
        <w:rPr>
          <w:rFonts w:ascii="Arial" w:hAnsi="Arial" w:cs="Arial"/>
          <w:sz w:val="22"/>
          <w:szCs w:val="22"/>
          <w:lang w:val="it-IT"/>
        </w:rPr>
        <w:t>Si allega:</w:t>
      </w:r>
    </w:p>
    <w:p w:rsidR="007F667B" w:rsidRPr="00A309DB" w:rsidRDefault="007F667B" w:rsidP="007F667B">
      <w:pPr>
        <w:ind w:left="360" w:right="359"/>
        <w:jc w:val="both"/>
        <w:rPr>
          <w:rFonts w:ascii="Arial" w:hAnsi="Arial" w:cs="Arial"/>
          <w:sz w:val="22"/>
          <w:szCs w:val="22"/>
          <w:lang w:val="it-IT"/>
        </w:rPr>
      </w:pPr>
    </w:p>
    <w:p w:rsidR="007F667B" w:rsidRPr="00A309DB" w:rsidRDefault="00F4531D" w:rsidP="007F667B">
      <w:pPr>
        <w:pStyle w:val="Paragrafoelenco"/>
        <w:widowControl w:val="0"/>
        <w:numPr>
          <w:ilvl w:val="0"/>
          <w:numId w:val="2"/>
        </w:numPr>
        <w:autoSpaceDE/>
        <w:spacing w:after="120"/>
        <w:contextualSpacing/>
        <w:rPr>
          <w:rFonts w:cs="Arial"/>
          <w:sz w:val="22"/>
          <w:szCs w:val="22"/>
        </w:rPr>
      </w:pPr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Proposta progettuale di gestione secondo le indicazioni dell’avviso pubblico</w:t>
      </w:r>
      <w:r w:rsidR="007F667B" w:rsidRPr="00A309DB">
        <w:rPr>
          <w:rFonts w:cs="Arial"/>
          <w:sz w:val="22"/>
          <w:szCs w:val="22"/>
        </w:rPr>
        <w:t>;</w:t>
      </w:r>
    </w:p>
    <w:p w:rsidR="00F4531D" w:rsidRPr="00A309DB" w:rsidRDefault="00F4531D" w:rsidP="00F4531D">
      <w:pPr>
        <w:pStyle w:val="Paragrafoelenco"/>
        <w:numPr>
          <w:ilvl w:val="0"/>
          <w:numId w:val="2"/>
        </w:numPr>
        <w:autoSpaceDN w:val="0"/>
        <w:adjustRightInd w:val="0"/>
        <w:spacing w:after="275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r w:rsidRPr="00A309DB">
        <w:rPr>
          <w:rFonts w:eastAsiaTheme="minorHAnsi" w:cs="Arial"/>
          <w:i/>
          <w:iCs/>
          <w:color w:val="000000"/>
          <w:sz w:val="22"/>
          <w:szCs w:val="22"/>
          <w:lang w:eastAsia="en-US"/>
        </w:rPr>
        <w:t xml:space="preserve">Curriculum </w:t>
      </w:r>
      <w:r w:rsidRPr="00A309DB">
        <w:rPr>
          <w:rFonts w:eastAsiaTheme="minorHAnsi" w:cs="Arial"/>
          <w:color w:val="000000"/>
          <w:sz w:val="22"/>
          <w:szCs w:val="22"/>
          <w:lang w:eastAsia="en-US"/>
        </w:rPr>
        <w:t xml:space="preserve">del soggetto proponente e di tutti i soggetti coinvolti; </w:t>
      </w:r>
    </w:p>
    <w:p w:rsidR="00F4531D" w:rsidRPr="00A309DB" w:rsidRDefault="00F4531D" w:rsidP="00F4531D">
      <w:pPr>
        <w:pStyle w:val="Paragrafoelenco"/>
        <w:numPr>
          <w:ilvl w:val="0"/>
          <w:numId w:val="2"/>
        </w:numPr>
        <w:autoSpaceDN w:val="0"/>
        <w:adjustRightInd w:val="0"/>
        <w:spacing w:after="275"/>
        <w:contextualSpacing/>
        <w:rPr>
          <w:rFonts w:eastAsiaTheme="minorHAnsi" w:cs="Arial"/>
          <w:color w:val="000000"/>
          <w:sz w:val="22"/>
          <w:szCs w:val="22"/>
          <w:lang w:eastAsia="en-US"/>
        </w:rPr>
      </w:pPr>
      <w:r w:rsidRPr="00A309DB">
        <w:rPr>
          <w:rFonts w:eastAsiaTheme="minorHAnsi" w:cs="Arial"/>
          <w:color w:val="000000"/>
          <w:sz w:val="22"/>
          <w:szCs w:val="22"/>
          <w:lang w:eastAsia="en-US"/>
        </w:rPr>
        <w:t>Copia di documento di riconoscimento in corso di validità del Presidente/Rappresentante Legale di ogni Ente/Associazione/Società proponente</w:t>
      </w:r>
      <w:r w:rsidRPr="00A309DB">
        <w:rPr>
          <w:rFonts w:cs="Arial"/>
          <w:sz w:val="22"/>
          <w:szCs w:val="22"/>
        </w:rPr>
        <w:t xml:space="preserve"> </w:t>
      </w:r>
    </w:p>
    <w:p w:rsidR="00E1279F" w:rsidRDefault="00E1279F" w:rsidP="00A309DB">
      <w:pPr>
        <w:autoSpaceDN w:val="0"/>
        <w:adjustRightInd w:val="0"/>
        <w:spacing w:after="275"/>
        <w:contextualSpacing/>
      </w:pPr>
    </w:p>
    <w:sectPr w:rsidR="00E12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1BC1"/>
    <w:multiLevelType w:val="multilevel"/>
    <w:tmpl w:val="FC4CB052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  <w:sz w:val="22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6D78C0"/>
    <w:multiLevelType w:val="hybridMultilevel"/>
    <w:tmpl w:val="03FC4F40"/>
    <w:lvl w:ilvl="0" w:tplc="C6AC62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FF0B00"/>
    <w:multiLevelType w:val="multilevel"/>
    <w:tmpl w:val="5D4A32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1165A"/>
    <w:multiLevelType w:val="hybridMultilevel"/>
    <w:tmpl w:val="57AA9B7A"/>
    <w:lvl w:ilvl="0" w:tplc="E49A80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145C90FE">
      <w:numFmt w:val="bullet"/>
      <w:lvlText w:val="−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20"/>
    <w:rsid w:val="000869B9"/>
    <w:rsid w:val="00791620"/>
    <w:rsid w:val="007F667B"/>
    <w:rsid w:val="0091506B"/>
    <w:rsid w:val="00956FFC"/>
    <w:rsid w:val="00A309DB"/>
    <w:rsid w:val="00AB14CA"/>
    <w:rsid w:val="00E1279F"/>
    <w:rsid w:val="00F4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A42DE-B9EE-40EC-9D41-A8049EA46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F667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667B"/>
    <w:pPr>
      <w:autoSpaceDE w:val="0"/>
      <w:ind w:left="708"/>
      <w:jc w:val="both"/>
    </w:pPr>
    <w:rPr>
      <w:rFonts w:ascii="Arial" w:hAnsi="Arial"/>
      <w:szCs w:val="20"/>
      <w:lang w:val="it-IT" w:eastAsia="it-IT"/>
    </w:rPr>
  </w:style>
  <w:style w:type="paragraph" w:customStyle="1" w:styleId="Normale1">
    <w:name w:val="Normale1"/>
    <w:uiPriority w:val="99"/>
    <w:rsid w:val="007F66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_pi.comune.nocattar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Dimaggio</dc:creator>
  <cp:keywords/>
  <dc:description/>
  <cp:lastModifiedBy>Rosanna Iaccarino</cp:lastModifiedBy>
  <cp:revision>6</cp:revision>
  <dcterms:created xsi:type="dcterms:W3CDTF">2025-04-08T10:36:00Z</dcterms:created>
  <dcterms:modified xsi:type="dcterms:W3CDTF">2025-04-08T11:31:00Z</dcterms:modified>
</cp:coreProperties>
</file>